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Actos y documentos de la Fundación publicados en el Diario Oficial</w:t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Actualizado el 15 de mayo de 2026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 continuación, se presenta el detalle de los actos y documentos publicados en el Diario Oficial desde la creación de la Fundación Imagen de Chile.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131.039999999997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5.3800000000001"/>
        <w:gridCol w:w="829.2000000000002"/>
        <w:gridCol w:w="2501.42"/>
        <w:gridCol w:w="849.0000000000003"/>
        <w:gridCol w:w="1929.0000000000005"/>
        <w:gridCol w:w="2000.9999999999995"/>
        <w:gridCol w:w="2210.9999999999995"/>
        <w:gridCol w:w="995.0400000000002"/>
        <w:tblGridChange w:id="0">
          <w:tblGrid>
            <w:gridCol w:w="815.3800000000001"/>
            <w:gridCol w:w="829.2000000000002"/>
            <w:gridCol w:w="2501.42"/>
            <w:gridCol w:w="849.0000000000003"/>
            <w:gridCol w:w="1929.0000000000005"/>
            <w:gridCol w:w="2000.9999999999995"/>
            <w:gridCol w:w="2210.9999999999995"/>
            <w:gridCol w:w="995.0400000000002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Año de publicación en 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7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Mes de publicación en TA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8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Denominación de la norma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9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N° de la norma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A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 de promulgación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B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 de publicación en Diario Oficial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C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 de modificación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D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Enlace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Concede personalidad jurídica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1787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08-05-2009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16-05-2009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Sin modificación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Amplía a 4 ministros los que componen el Directorio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20.511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03-05-2011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10-05-2011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Sin modificación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Aprueba la reforma a los estatutos de la Fundación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16-01-2012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05-04-2012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Sin modificación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Establece el financiamiento, regula la ejecución y dicta otras normas para la implementación de la conferencia internacional para el cambio climático denominada COP 25 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21.157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18-04-2019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24-04-2019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Sin modificación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360" w:lineRule="auto"/>
        <w:jc w:val="both"/>
        <w:rPr>
          <w:rFonts w:ascii="Helvetica Neue" w:cs="Helvetica Neue" w:eastAsia="Helvetica Neue" w:hAnsi="Helvetica Neue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2240" w:w="15840" w:orient="landscape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7007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9tBZHeq00NVtzrZFzURvLRizke6_7fQ9/view?usp=drive_link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rive.google.com/file/d/1m-OW1BlIvomydpyaxCVXGu6r_8I8XNtG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byYklhziSV89LD12w3bR-JeNFQQX4Jz5/view?usp=sharing" TargetMode="External"/><Relationship Id="rId8" Type="http://schemas.openxmlformats.org/officeDocument/2006/relationships/hyperlink" Target="https://drive.google.com/file/d/1JVbtr_bxGS9I3_27rIOfTuGIHnbN1QKJ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MewNt2xQTbOA9cN/pRUTNW4sGA==">CgMxLjA4AHIhMU1MRGJ6MHhHRVN5b0hnSDBRXy1JdDRpMW5SUTZWYndw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